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B09C2" w14:textId="19A42548" w:rsidR="00FC3689" w:rsidRDefault="00652239">
      <w:hyperlink r:id="rId4" w:history="1">
        <w:r>
          <w:rPr>
            <w:rStyle w:val="Hyperlink"/>
          </w:rPr>
          <w:t>Federal Budget 2023-2024 (fbr.gov.pk)</w:t>
        </w:r>
      </w:hyperlink>
    </w:p>
    <w:sectPr w:rsidR="00FC3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39"/>
    <w:rsid w:val="002A33DC"/>
    <w:rsid w:val="00652239"/>
    <w:rsid w:val="00FC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C5A58"/>
  <w15:chartTrackingRefBased/>
  <w15:docId w15:val="{F14F3EE0-CC7A-4DB2-A3B5-F6687934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22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br.gov.pk/Budget2023-24/defaul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Nizar Rattani</dc:creator>
  <cp:keywords/>
  <dc:description/>
  <cp:lastModifiedBy>Nizar Rattani</cp:lastModifiedBy>
  <cp:revision>1</cp:revision>
  <dcterms:created xsi:type="dcterms:W3CDTF">2023-12-07T07:35:00Z</dcterms:created>
  <dcterms:modified xsi:type="dcterms:W3CDTF">2023-12-07T07:36:00Z</dcterms:modified>
</cp:coreProperties>
</file>